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w w:val="90"/>
          <w:sz w:val="30"/>
          <w:szCs w:val="30"/>
        </w:rPr>
      </w:pPr>
      <w:bookmarkStart w:id="0" w:name="_Toc465158226"/>
      <w:r>
        <w:rPr>
          <w:rFonts w:hint="eastAsia" w:ascii="黑体" w:hAnsi="黑体" w:eastAsia="黑体"/>
          <w:w w:val="90"/>
          <w:sz w:val="30"/>
          <w:szCs w:val="30"/>
        </w:rPr>
        <w:t>《</w:t>
      </w:r>
      <w:r>
        <w:rPr>
          <w:rFonts w:hint="eastAsia" w:ascii="黑体" w:hAnsi="黑体" w:eastAsia="黑体"/>
          <w:w w:val="90"/>
          <w:sz w:val="30"/>
          <w:szCs w:val="30"/>
          <w:lang w:val="en-US" w:eastAsia="zh-CN"/>
        </w:rPr>
        <w:t>****</w:t>
      </w:r>
      <w:bookmarkStart w:id="1" w:name="_GoBack"/>
      <w:bookmarkEnd w:id="1"/>
      <w:r>
        <w:rPr>
          <w:rFonts w:hint="eastAsia" w:ascii="黑体" w:hAnsi="黑体" w:eastAsia="黑体"/>
          <w:w w:val="90"/>
          <w:sz w:val="30"/>
          <w:szCs w:val="30"/>
        </w:rPr>
        <w:t>》专业实习工作</w:t>
      </w:r>
      <w:r>
        <w:rPr>
          <w:rFonts w:ascii="黑体" w:hAnsi="黑体" w:eastAsia="黑体"/>
          <w:w w:val="90"/>
          <w:sz w:val="30"/>
          <w:szCs w:val="30"/>
        </w:rPr>
        <w:t>自</w:t>
      </w:r>
      <w:r>
        <w:rPr>
          <w:rFonts w:hint="eastAsia" w:ascii="黑体" w:hAnsi="黑体" w:eastAsia="黑体"/>
          <w:w w:val="90"/>
          <w:sz w:val="30"/>
          <w:szCs w:val="30"/>
        </w:rPr>
        <w:t>评表</w:t>
      </w:r>
      <w:bookmarkEnd w:id="0"/>
    </w:p>
    <w:tbl>
      <w:tblPr>
        <w:tblStyle w:val="4"/>
        <w:tblW w:w="14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38"/>
        <w:gridCol w:w="538"/>
        <w:gridCol w:w="370"/>
        <w:gridCol w:w="896"/>
        <w:gridCol w:w="899"/>
        <w:gridCol w:w="1257"/>
        <w:gridCol w:w="356"/>
        <w:gridCol w:w="3537"/>
        <w:gridCol w:w="1864"/>
        <w:gridCol w:w="764"/>
        <w:gridCol w:w="781"/>
        <w:gridCol w:w="672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29" w:type="dxa"/>
            <w:vMerge w:val="restart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观测点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315" w:type="dxa"/>
            <w:gridSpan w:val="6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质量等级标准</w:t>
            </w:r>
          </w:p>
        </w:tc>
        <w:tc>
          <w:tcPr>
            <w:tcW w:w="3409" w:type="dxa"/>
            <w:gridSpan w:val="3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检查记载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评价等级</w:t>
            </w:r>
          </w:p>
        </w:tc>
        <w:tc>
          <w:tcPr>
            <w:tcW w:w="40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3409" w:type="dxa"/>
            <w:gridSpan w:val="3"/>
            <w:vMerge w:val="continue"/>
            <w:vAlign w:val="top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实习准备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基地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每个专业有3-5个稳定的校外实习基地；实习的场地、设施满足人才培养的需要；基地技术人员认真、详细地讲解生产技术和流程等问题，并能够认真辅导答疑；实际到基地实习的学生数/实习生总数≥80%。实习基地利用率≥80%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每个专业有稳定的校外实习基地；实习的场地、设施基本满足人才培养的需要；基地技术人员能够讲解生产技术和流程等问题；实际到基地实习的学生数/实习生总数≥60%。实习基地利用率≥60%。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专业学生数：</w:t>
            </w: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基地实习学生：</w:t>
            </w: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基地实习率：</w:t>
            </w: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基地技术人员指导情况：</w:t>
            </w:r>
            <w:r>
              <w:rPr>
                <w:rFonts w:ascii="楷体_GB2312" w:hAnsi="Times New Roman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after="240" w:line="0" w:lineRule="atLeast"/>
              <w:ind w:firstLine="180" w:firstLineChars="100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after="240"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有科学规范的专业实习工作管理细则、规定等教学文件；内容具体全面，要求严格，责任明确；保证实习工作的顺利进行。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有基本的专业实习工作管理细则、规定等教学文件；内容较全面，执行情况较好；没有出现失误。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实习管理文件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楷体_GB2312" w:hAnsi="Times New Roman" w:eastAsia="楷体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管理细则情况：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严格按照人才培养方案制定符合实际教学工作的实习计划；实施方案内容完整、细致、合理、具体，有保证实习教学的有效措施；有符合教学基本要求的实习大纲。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按照人才培养方案制定实习计划；实施方案基本合理，有保证实习教学的措施；有实习大纲。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按人才培养方案制定实习计划：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楷体_GB2312" w:hAnsi="Times New Roman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实习大纲：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实施方案：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带队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带队指导教师有丰富的实际教学经验和教学管理经验；全程负责学生的实习活动；带队指导实习生人数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10。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带队指导教师具有一定的实际教学经验和教学管理经验；负责学生的实习活动；指导实习生人数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20。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带队教师人数：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师生比：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动员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院系或专业进行实习动员工作，院领导作动员报告并有详细会议记录，使学生真正理解实习工作的目的和意义；指定领导负责实习工作，做好实习各项准备工作；实习前组织实习生签署实习生实习安全责任书。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院系或专业进行实习动员工作，使学生理解实习工作的目的和意义；做好实习准备工作;实习生签署了实习生实习安全责任书。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ind w:left="90" w:hanging="90" w:hangingChars="50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召开实习动员会:                </w:t>
            </w:r>
          </w:p>
          <w:p>
            <w:pPr>
              <w:widowControl/>
              <w:spacing w:line="0" w:lineRule="atLeast"/>
              <w:ind w:left="90" w:hanging="90" w:hangingChars="50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ind w:left="90" w:hanging="90" w:hangingChars="50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动员会记录： 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实习生安全责任书签署情况：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实习过程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40%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指导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与实习单位联系密切，积极热心实习指导工作；能够按照实习大纲要求，认真、深入、透彻地进行指导，能够启发学生进行创新思考；能够认真批改学生实习记录本和实习报告，并认真进行学生实习鉴定；对实习工作认真总结，提出切实可行的改进建议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对实习指导工作有责任心；能够按照实习大纲要求进行指导；能够认真批改学生实习笔记和实习报告，并写出学生实习鉴定；能认真总结实习工作。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Times New Roman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教师工作日志：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教师指导情况：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教师工作总结情况：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ind w:firstLine="90" w:firstLineChars="50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专业实习内容完全符合教学大纲要求，与专业结合密切。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专业实习内容符合教学大纲要求，与专业结合较密切。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毕业实习手册填写：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实习内容是否符合教学大纲要求：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记载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全部学生的专业实习手册记录详细，数据完整准确；指导教师批阅认真。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大部分学生的能记录专业实习手册，内容基本完整；指导教师有批阅。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实习工作记载：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有指导教师批阅的学生数：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报告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专业实习报告源于实习记载；数据完整准确；图样清晰，系统性强；书写工整规范。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专业实习报告源于实习记载；数据较完整；图样比较清晰，有系统性；书写规范。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学生毕业实习报告是否符合要求：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实习考核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15%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纪律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学生实习态度端正，严格要求自己，服从实习工作安排；听从带队教师和实习单位领导的指挥，吃苦耐劳，不怕脏不怕累；严格遵守学校和实习单位的各项规定。</w:t>
            </w:r>
          </w:p>
        </w:tc>
        <w:tc>
          <w:tcPr>
            <w:tcW w:w="3537" w:type="dxa"/>
            <w:vAlign w:val="top"/>
          </w:tcPr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学生实习态度端正；能够听从带队教师和实习单位领导的指挥；遵守学校和实习单位的各项规定。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实习生遵守纪律情况：</w:t>
            </w: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int="eastAsia" w:ascii="楷体_GB2312" w:hAnsi="宋体" w:eastAsia="楷体_GB2312" w:cs="宋体"/>
                <w:kern w:val="0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实习生违纪情况：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院系制定严格实习工作检查与评估方案，到实习单位开展实习检查工作；对实习指导教师的工作考评检查，听取实习单位和实习指导教师的意见反馈并及时处理各种问题；确保实习质量。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院系到实习单位开展实习检查工作；对实习指导教师的工作考评检查，收集实习单位和实习指导教师的意见反馈；实习质量较好。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检查工作方案：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实习工作检查情况记载：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实习学校和实习师生意见反馈情况：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成绩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评定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严格按照规定的评价标准评定成绩，评分科学、准确、成绩分布合理；实习指导教师对评判工作严谨、认真、负责任；实习单位对实习的评价意见客观、中肯，对实习生的评价鉴定实事求是；成绩评定程序合理。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按照规定的评价标准评定成绩，评分合理；实习指导教师对评判工作负责任；实习单位对实习的评价意见较为客观、中肯；成绩评定程序基本合理。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成绩评定比例：</w:t>
            </w:r>
          </w:p>
          <w:p>
            <w:pPr>
              <w:spacing w:line="0" w:lineRule="atLeast"/>
              <w:ind w:left="210" w:leftChars="100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 xml:space="preserve">优秀：  </w:t>
            </w:r>
            <w:r>
              <w:rPr>
                <w:rFonts w:hint="eastAsia" w:ascii="楷体_GB2312" w:hAnsi="Times New Roman" w:eastAsia="楷体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 xml:space="preserve">%; 良好：  </w:t>
            </w:r>
            <w:r>
              <w:rPr>
                <w:rFonts w:hint="eastAsia" w:ascii="楷体_GB2312" w:hAnsi="Times New Roman" w:eastAsia="楷体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 xml:space="preserve">% </w:t>
            </w:r>
          </w:p>
          <w:p>
            <w:pPr>
              <w:spacing w:line="0" w:lineRule="atLeast"/>
              <w:ind w:left="210" w:leftChars="100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 xml:space="preserve">及格：  </w:t>
            </w:r>
            <w:r>
              <w:rPr>
                <w:rFonts w:hint="eastAsia" w:ascii="楷体_GB2312" w:hAnsi="Times New Roman" w:eastAsia="楷体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%; 不及格：  %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没有指导教师评语的学生数：</w:t>
            </w: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没有实习单位评语的学生数：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ind w:firstLine="90" w:firstLineChars="50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总结归档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15%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实习效果和学生实习     总结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90%实习生通过专业实习接触实际，巩固、深化所学理论和业务知识，初步获得运用专业知识的能力和实际工作能力；发现自己在实际工作过程中存在的不足；实习生对实习的各个环节进行详细总结。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70%实习生通过专业实习接触实际，巩固、深化所学理论和业务知识，初步获得运用专业知识的能力和实际工作能力；发现自己在实际工作过程中存在的不足；实习生对实习的进行详细总结。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学生实习总结数：</w:t>
            </w: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实习效果较好的学生比例：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总结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院系和专业对实习工作进行详细的总结，有全面系统的书面实习总结报告；注重对实习工作的反馈，对反馈利用率高；按10%比例评选优秀实习指导教师和优秀实习生，评优工作规范，过程透明。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院系和专业对实习工作进行总结，有书面实习总结报告；有对实习工作的反馈与利用；按10%比例评选优秀实习指导教师和优秀实习生，评优工作较规范，过程较透明。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院系实习总结情况：</w:t>
            </w:r>
          </w:p>
          <w:p>
            <w:pPr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 xml:space="preserve">                     </w:t>
            </w:r>
          </w:p>
          <w:p>
            <w:pPr>
              <w:rPr>
                <w:rFonts w:hint="eastAsia" w:ascii="楷体_GB2312" w:hAnsi="Times New Roman" w:eastAsia="楷体_GB2312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评优材料：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材料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存档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5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有严格的材料存档管理制度；实习档案规范齐全；有专人负责保管，职责明确。</w:t>
            </w:r>
          </w:p>
        </w:tc>
        <w:tc>
          <w:tcPr>
            <w:tcW w:w="3537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有材料存档管理制度；实习档案齐全；存档材料有专人管理。</w:t>
            </w:r>
          </w:p>
        </w:tc>
        <w:tc>
          <w:tcPr>
            <w:tcW w:w="3409" w:type="dxa"/>
            <w:gridSpan w:val="3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材料存档情况：</w:t>
            </w:r>
          </w:p>
        </w:tc>
        <w:tc>
          <w:tcPr>
            <w:tcW w:w="672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top"/>
          </w:tcPr>
          <w:p>
            <w:pPr>
              <w:widowControl/>
              <w:spacing w:line="0" w:lineRule="atLeast"/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评价结论</w:t>
            </w:r>
          </w:p>
        </w:tc>
        <w:tc>
          <w:tcPr>
            <w:tcW w:w="9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评价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评价</w:t>
            </w: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评价人签字</w:t>
            </w:r>
          </w:p>
        </w:tc>
        <w:tc>
          <w:tcPr>
            <w:tcW w:w="57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实习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自查小组</w:t>
            </w:r>
          </w:p>
        </w:tc>
        <w:tc>
          <w:tcPr>
            <w:tcW w:w="7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评价</w:t>
            </w: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3272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1. 对各评价观测点定等级，评价等级分为A、C的标准，低于A高于C为B,低于C为D；</w:t>
            </w:r>
          </w:p>
          <w:p>
            <w:pPr>
              <w:widowControl/>
              <w:spacing w:line="0" w:lineRule="atLeast"/>
              <w:rPr>
                <w:rFonts w:hint="eastAsia"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2. 每项得分=分值×等级系数（等级系数：A：1.0、B：0.80、C：0.6、D：0.4）。评价总分为每项得分之和。评价结果分为四个等级：优秀</w:t>
            </w:r>
            <w:r>
              <w:rPr>
                <w:rFonts w:hint="eastAsia" w:ascii="宋体" w:hAnsi="宋体" w:cs="宋体"/>
                <w:sz w:val="18"/>
                <w:szCs w:val="18"/>
              </w:rPr>
              <w:t>≧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90、良好</w:t>
            </w:r>
            <w:r>
              <w:rPr>
                <w:rFonts w:hint="eastAsia" w:ascii="宋体" w:hAnsi="宋体" w:cs="宋体"/>
                <w:sz w:val="18"/>
                <w:szCs w:val="18"/>
              </w:rPr>
              <w:t>≦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89</w:t>
            </w:r>
            <w:r>
              <w:rPr>
                <w:rFonts w:hint="eastAsia" w:ascii="宋体" w:hAnsi="宋体" w:cs="宋体"/>
                <w:sz w:val="18"/>
                <w:szCs w:val="18"/>
              </w:rPr>
              <w:t>≧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75、</w:t>
            </w:r>
          </w:p>
          <w:p>
            <w:pPr>
              <w:widowControl/>
              <w:spacing w:line="0" w:lineRule="atLeast"/>
              <w:ind w:firstLine="270" w:firstLineChars="150"/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合格</w:t>
            </w:r>
            <w:r>
              <w:rPr>
                <w:rFonts w:hint="eastAsia" w:ascii="宋体" w:hAnsi="宋体" w:cs="宋体"/>
                <w:sz w:val="18"/>
                <w:szCs w:val="18"/>
              </w:rPr>
              <w:t>≦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74</w:t>
            </w:r>
            <w:r>
              <w:rPr>
                <w:rFonts w:hint="eastAsia" w:ascii="宋体" w:hAnsi="宋体" w:cs="宋体"/>
                <w:sz w:val="18"/>
                <w:szCs w:val="18"/>
              </w:rPr>
              <w:t>≧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60、不合格＜60。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4212"/>
    <w:rsid w:val="30554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2018-07-04T06:37:00Z</dcterms:created>
  <dc:creator>edith237</dc:creator>
  <cp:lastModifiedBy>edith237</cp:lastModifiedBy>
  <dcterms:modified xsi:type="dcterms:W3CDTF">2018-07-04T06:44:49Z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